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32"/>
          <w:szCs w:val="32"/>
        </w:rPr>
      </w:pPr>
      <w:bookmarkStart w:id="0" w:name="_GoBack"/>
      <w:bookmarkEnd w:id="0"/>
      <w:r>
        <w:rPr>
          <w:rFonts w:hint="eastAsia" w:ascii="方正大标宋简体" w:eastAsia="方正大标宋简体"/>
          <w:color w:val="FF0000"/>
          <w:spacing w:val="-85"/>
          <w:w w:val="63"/>
          <w:sz w:val="144"/>
          <w:szCs w:val="144"/>
          <w:highlight w:val="none"/>
        </w:rPr>
        <w:t>滕州市人民政府</w:t>
      </w:r>
      <w:r>
        <w:rPr>
          <w:rFonts w:hint="eastAsia" w:ascii="方正大标宋简体" w:eastAsia="方正大标宋简体"/>
          <w:color w:val="FF0000"/>
          <w:spacing w:val="-85"/>
          <w:w w:val="63"/>
          <w:sz w:val="144"/>
          <w:szCs w:val="144"/>
          <w:highlight w:val="none"/>
          <w:lang w:eastAsia="zh-CN"/>
        </w:rPr>
        <w:t>办公室文件</w:t>
      </w: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keepNext w:val="0"/>
        <w:keepLines w:val="0"/>
        <w:pageBreakBefore w:val="0"/>
        <w:kinsoku/>
        <w:overflowPunct/>
        <w:topLinePunct w:val="0"/>
        <w:autoSpaceDE/>
        <w:autoSpaceDN/>
        <w:bidi w:val="0"/>
        <w:spacing w:line="58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滕政办发〔202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号</w:t>
      </w:r>
    </w:p>
    <w:p>
      <w:pPr>
        <w:keepNext w:val="0"/>
        <w:keepLines w:val="0"/>
        <w:pageBreakBefore w:val="0"/>
        <w:kinsoku/>
        <w:overflowPunct/>
        <w:topLinePunct w:val="0"/>
        <w:autoSpaceDE/>
        <w:autoSpaceDN/>
        <w:bidi w:val="0"/>
        <w:spacing w:line="58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大标宋简体" w:eastAsia="方正大标宋简体"/>
          <w:color w:val="FF0000"/>
          <w:spacing w:val="-74"/>
          <w:sz w:val="124"/>
          <w:szCs w:val="124"/>
          <w:highlight w:val="none"/>
        </w:rPr>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104140</wp:posOffset>
                </wp:positionV>
                <wp:extent cx="550799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0799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45pt;margin-top:8.2pt;height:0pt;width:433.7pt;z-index:251659264;mso-width-relative:page;mso-height-relative:page;" filled="f" stroked="t" coordsize="21600,21600" o:gfxdata="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x/dq7WAAAACAEAAA8AAAAAAAAAAQAgAAAAIgAAAGRycy9kb3ducmV2&#10;LnhtbFBLAQIUABQAAAAIAIdO4kB9WNjT/gEAAPMDAAAOAAAAAAAAAAEAIAAAACUBAABkcnMvZTJv&#10;RG9jLnhtbFBLBQYAAAAABgAGAFkBAACVBQAAAAA=&#10;">
                <v:fill on="f" focussize="0,0"/>
                <v:stroke weight="2.25pt" color="#FF0000" joinstyle="round"/>
                <v:imagedata o:title=""/>
                <o:lock v:ext="edit" aspectratio="f"/>
              </v:line>
            </w:pict>
          </mc:Fallback>
        </mc:AlternateContent>
      </w:r>
    </w:p>
    <w:p>
      <w:pPr>
        <w:keepNext w:val="0"/>
        <w:keepLines w:val="0"/>
        <w:pageBreakBefore w:val="0"/>
        <w:kinsoku/>
        <w:overflowPunct/>
        <w:topLinePunct w:val="0"/>
        <w:autoSpaceDE/>
        <w:autoSpaceDN/>
        <w:bidi w:val="0"/>
        <w:spacing w:line="580" w:lineRule="exact"/>
        <w:jc w:val="center"/>
        <w:textAlignment w:val="auto"/>
        <w:rPr>
          <w:rFonts w:ascii="仿宋_GB2312" w:hAnsi="仿宋_GB2312" w:eastAsia="仿宋_GB2312" w:cs="仿宋_GB2312"/>
          <w:sz w:val="32"/>
          <w:szCs w:val="32"/>
        </w:rPr>
      </w:pPr>
    </w:p>
    <w:p>
      <w:pPr>
        <w:keepNext w:val="0"/>
        <w:keepLines w:val="0"/>
        <w:pageBreakBefore w:val="0"/>
        <w:kinsoku/>
        <w:overflowPunct/>
        <w:topLinePunct w:val="0"/>
        <w:autoSpaceDE/>
        <w:autoSpaceDN/>
        <w:bidi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滕州市人民政府办公室</w:t>
      </w:r>
    </w:p>
    <w:p>
      <w:pPr>
        <w:keepNext w:val="0"/>
        <w:keepLines w:val="0"/>
        <w:pageBreakBefore w:val="0"/>
        <w:kinsoku/>
        <w:overflowPunct/>
        <w:topLinePunct w:val="0"/>
        <w:autoSpaceDE/>
        <w:autoSpaceDN/>
        <w:bidi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关于建立滕州市住房公积金联席会议</w:t>
      </w:r>
    </w:p>
    <w:p>
      <w:pPr>
        <w:keepNext w:val="0"/>
        <w:keepLines w:val="0"/>
        <w:pageBreakBefore w:val="0"/>
        <w:kinsoku/>
        <w:overflowPunct/>
        <w:topLinePunct w:val="0"/>
        <w:autoSpaceDE/>
        <w:autoSpaceDN/>
        <w:bidi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制度的通知</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overflowPunct/>
        <w:topLinePunct w:val="0"/>
        <w:autoSpaceDE/>
        <w:autoSpaceDN/>
        <w:bidi w:val="0"/>
        <w:spacing w:line="580" w:lineRule="exact"/>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各镇人民政府、街道办事处，滕州经济开发区管委会，市政府各部门，各企事业单位：</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对住房公积金工作的组织领导和统筹协调，根据枣庄市住房公积金管理中心《关于建立住房公积金联席会议制度的通知》要求，经研究，建立滕州市住房公积金联席会议制度（以下简称联席会议），现将有关事项通知如下：</w:t>
      </w:r>
    </w:p>
    <w:p>
      <w:pPr>
        <w:keepNext w:val="0"/>
        <w:keepLines w:val="0"/>
        <w:pageBreakBefore w:val="0"/>
        <w:kinsoku/>
        <w:overflowPunct/>
        <w:topLinePunct w:val="0"/>
        <w:autoSpaceDE/>
        <w:autoSpaceDN/>
        <w:bidi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一、机构组成</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联席会议设总召集人1人，由分管副市长担任。副召集人2人，分别由市政府办公室</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和枣庄</w:t>
      </w:r>
      <w:r>
        <w:rPr>
          <w:rFonts w:hint="eastAsia" w:ascii="仿宋_GB2312" w:hAnsi="仿宋_GB2312" w:eastAsia="仿宋_GB2312" w:cs="仿宋_GB2312"/>
          <w:color w:val="000000" w:themeColor="text1"/>
          <w:sz w:val="32"/>
          <w:szCs w:val="32"/>
          <w14:textFill>
            <w14:solidFill>
              <w14:schemeClr w14:val="tx1"/>
            </w14:solidFill>
          </w14:textFill>
        </w:rPr>
        <w:t>市住房公积金管理中心滕州分中心负责人</w:t>
      </w:r>
      <w:r>
        <w:rPr>
          <w:rFonts w:hint="eastAsia" w:ascii="仿宋_GB2312" w:hAnsi="仿宋_GB2312" w:eastAsia="仿宋_GB2312" w:cs="仿宋_GB2312"/>
          <w:sz w:val="32"/>
          <w:szCs w:val="32"/>
        </w:rPr>
        <w:t>担任。</w:t>
      </w:r>
      <w:r>
        <w:rPr>
          <w:rFonts w:hint="eastAsia" w:ascii="仿宋_GB2312" w:hAnsi="仿宋_GB2312" w:eastAsia="仿宋_GB2312" w:cs="仿宋_GB2312"/>
          <w:sz w:val="32"/>
          <w:szCs w:val="32"/>
          <w:shd w:val="clear" w:color="auto" w:fill="FFFFFF"/>
        </w:rPr>
        <w:t>市财政、住建、税务、人社、行政审批等部门作为联席会议成员单位，联席会议成员随工作岗位变更而自动变更，由所在单位向联席会议提出。</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联席会议下设办公室，由枣庄市住房公积金管理中心滕州分中心负责人兼任办公室主任，负责联席会议日常工作。</w:t>
      </w:r>
    </w:p>
    <w:p>
      <w:pPr>
        <w:keepNext w:val="0"/>
        <w:keepLines w:val="0"/>
        <w:pageBreakBefore w:val="0"/>
        <w:kinsoku/>
        <w:overflowPunct/>
        <w:topLinePunct w:val="0"/>
        <w:autoSpaceDE/>
        <w:autoSpaceDN/>
        <w:bidi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二、主要任务</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贯彻执行中央、省市关于住房公积金工作的法律法规和各项规章制度及决策部署；负责住房公积金政策法规和全市住房公积金管理委员会决策部署协调推进工作；积极支持滕州分中心住房公积金归集扩面工作，充分发挥联席会议作用，提高住房公积金制度覆盖面，维护缴存职工的合法权益；不断提升住房公积金信息化及服务水平；联合惩戒拒不开户缴存住房公积金、逾期不缴或者少缴住房公积金以及骗提骗贷、贷款逾期、贷后断缴等行为；共享大数据信息，房地产市场监测预报、调研分析，开发企业建设、销售、运营等情况；协调处理信访舆情。</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三、工作职责</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（一）联席会议职责</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1.负责协调解决本行政</w:t>
      </w:r>
      <w:r>
        <w:rPr>
          <w:rFonts w:hint="eastAsia" w:ascii="仿宋_GB2312" w:hAnsi="仿宋_GB2312" w:eastAsia="仿宋_GB2312" w:cs="仿宋_GB2312"/>
          <w:color w:val="000000" w:themeColor="text1"/>
          <w:sz w:val="32"/>
          <w:szCs w:val="32"/>
          <w14:textFill>
            <w14:solidFill>
              <w14:schemeClr w14:val="tx1"/>
            </w14:solidFill>
          </w14:textFill>
        </w:rPr>
        <w:t>区域</w:t>
      </w:r>
      <w:r>
        <w:rPr>
          <w:rFonts w:hint="eastAsia" w:ascii="仿宋_GB2312" w:hAnsi="仿宋_GB2312" w:eastAsia="仿宋_GB2312" w:cs="仿宋_GB2312"/>
          <w:sz w:val="32"/>
          <w:szCs w:val="32"/>
        </w:rPr>
        <w:t>内住房公积金管理工作中的重大问题，根据国家、省、市关于住房公积金工作的相关法规和政策，研究制定贯彻落实意见和措施；</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2.健全和落实“协同配合、资源互补、信息共享”的部门协调工作机制，加强各部门在信息交换、信息共享、调查配合等方面的统筹协调，形成整体合力，规范和提升住房公积金保障服务水平；</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3.督查和通报各责任部门工作落实情况；</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4.解决其他涉及住房公积金管理工作的重大事项。</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（二）联席会议办公室职责</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办公室负责联席会议日常工作。</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1.负责联席会议有关材料收集整理、文件起草和印发；</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2.负责联席会议的会务工作；</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3.协调住房公积金管理工作中跨部门、跨地区的有关工作，开展成员单位之间的信息交流；</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4.负责督促落实联席会议确定的事宜，组织实施对各责任部门住房公积金工作的督查，起草督查通报；</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5.完成联席会议交办的其他工作。</w:t>
      </w:r>
    </w:p>
    <w:p>
      <w:pPr>
        <w:keepNext w:val="0"/>
        <w:keepLines w:val="0"/>
        <w:pageBreakBefore w:val="0"/>
        <w:kinsoku/>
        <w:overflowPunct/>
        <w:topLinePunct w:val="0"/>
        <w:autoSpaceDE/>
        <w:autoSpaceDN/>
        <w:bidi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四、工作制度</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（一）联席会议通过召开全体成员会议，推进市</w:t>
      </w:r>
      <w:r>
        <w:rPr>
          <w:rFonts w:hint="eastAsia" w:ascii="仿宋_GB2312" w:hAnsi="仿宋_GB2312" w:eastAsia="仿宋_GB2312" w:cs="仿宋_GB2312"/>
          <w:sz w:val="32"/>
          <w:szCs w:val="32"/>
        </w:rPr>
        <w:t>住房公积金管理委员会决策事项在所辖区域的落实工作，成员单位根据工作需要可以提出召开会议的建议。</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联席会议根据工作需要召开，每年至少召开一次。会议议题由联席会议总召集人确定，并由联席会议办公室会前5天内，将会议议题及有关资料送达各成员单位，同时充分征求成员单位意见，提高会议决策效率和质量。</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（三）联席会议需四分之三以上成员单位出席，方可举行。</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（四）联席会议按照民主集中制原则，</w:t>
      </w:r>
      <w:r>
        <w:rPr>
          <w:rFonts w:hint="eastAsia" w:ascii="仿宋_GB2312" w:hAnsi="仿宋_GB2312" w:eastAsia="仿宋_GB2312" w:cs="仿宋_GB2312"/>
          <w:sz w:val="32"/>
          <w:szCs w:val="32"/>
          <w:shd w:val="clear" w:color="auto" w:fill="FFFFFF"/>
        </w:rPr>
        <w:t>实行民主决策、科学决策。</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（五）联席会议成员单位主要负责人因特殊情况不能出席会议时，应当委托熟悉情况的有关人员携其书面意见参加会议，受委托人不享有表决权。</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（六）联席会议程序一般为：</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1.总召集人主持会议，宣布成员单位出席情况和会议议题；</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2.联席会议办公室主任汇报议题内容；</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3.成员单位发言，讨论议题；</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4.议题由联席会议成员单位三分之二多数赞成通过；</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5.公布表决结果，作出决议；</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6.总召集人总结讲话。</w:t>
      </w:r>
    </w:p>
    <w:p>
      <w:pPr>
        <w:pStyle w:val="5"/>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（七）联席会议作出的各种意见和决定事项，由联席会议办公室负责整理，并以政府专题会议纪要形式，印发各成员单位及</w:t>
      </w:r>
      <w:r>
        <w:rPr>
          <w:rFonts w:hint="eastAsia" w:ascii="仿宋_GB2312" w:hAnsi="仿宋_GB2312" w:eastAsia="仿宋_GB2312" w:cs="仿宋_GB2312"/>
          <w:color w:val="000000"/>
          <w:sz w:val="32"/>
          <w:szCs w:val="32"/>
          <w:shd w:val="clear" w:color="auto" w:fill="FFFFFF"/>
        </w:rPr>
        <w:t>相关部门</w:t>
      </w:r>
      <w:r>
        <w:rPr>
          <w:rFonts w:hint="eastAsia" w:ascii="仿宋_GB2312" w:hAnsi="仿宋_GB2312" w:eastAsia="仿宋_GB2312" w:cs="仿宋_GB2312"/>
          <w:sz w:val="32"/>
          <w:szCs w:val="32"/>
          <w:shd w:val="clear" w:color="auto" w:fill="FFFFFF"/>
        </w:rPr>
        <w:t>。</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shd w:val="clear" w:color="auto" w:fill="FFFFFF"/>
        </w:rPr>
      </w:pP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附件：滕州市住房公积金联席会议成员名单</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spacing w:line="58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滕州市人民政府办公室</w:t>
      </w:r>
    </w:p>
    <w:p>
      <w:pPr>
        <w:keepNext w:val="0"/>
        <w:keepLines w:val="0"/>
        <w:pageBreakBefore w:val="0"/>
        <w:kinsoku/>
        <w:overflowPunct/>
        <w:topLinePunct w:val="0"/>
        <w:autoSpaceDE/>
        <w:autoSpaceDN/>
        <w:bidi w:val="0"/>
        <w:spacing w:line="58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kinsoku/>
        <w:overflowPunct/>
        <w:topLinePunct w:val="0"/>
        <w:autoSpaceDE/>
        <w:autoSpaceDN/>
        <w:bidi w:val="0"/>
        <w:spacing w:line="58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滕州市住房公积金联席会议成员名单</w:t>
      </w:r>
    </w:p>
    <w:p>
      <w:pPr>
        <w:keepNext w:val="0"/>
        <w:keepLines w:val="0"/>
        <w:pageBreakBefore w:val="0"/>
        <w:kinsoku/>
        <w:overflowPunct/>
        <w:topLinePunct w:val="0"/>
        <w:autoSpaceDE/>
        <w:autoSpaceDN/>
        <w:bidi w:val="0"/>
        <w:spacing w:line="58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spacing w:line="58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召 集 人：</w:t>
      </w:r>
      <w:r>
        <w:rPr>
          <w:rFonts w:hint="eastAsia" w:ascii="仿宋_GB2312" w:hAnsi="仿宋_GB2312" w:eastAsia="仿宋_GB2312" w:cs="仿宋_GB2312"/>
          <w:color w:val="000000" w:themeColor="text1"/>
          <w:sz w:val="32"/>
          <w:szCs w:val="32"/>
          <w14:textFill>
            <w14:solidFill>
              <w14:schemeClr w14:val="tx1"/>
            </w14:solidFill>
          </w14:textFill>
        </w:rPr>
        <w:t xml:space="preserve">赵  炜    </w:t>
      </w:r>
      <w:r>
        <w:rPr>
          <w:rFonts w:hint="eastAsia" w:ascii="仿宋_GB2312" w:hAnsi="仿宋_GB2312" w:eastAsia="仿宋_GB2312" w:cs="仿宋_GB2312"/>
          <w:color w:val="000000" w:themeColor="text1"/>
          <w:sz w:val="32"/>
          <w:szCs w:val="32"/>
          <w:lang w:eastAsia="zh-CN"/>
          <w14:textFill>
            <w14:solidFill>
              <w14:schemeClr w14:val="tx1"/>
            </w14:solidFill>
          </w14:textFill>
        </w:rPr>
        <w:t>滕州</w:t>
      </w:r>
      <w:r>
        <w:rPr>
          <w:rFonts w:hint="eastAsia" w:ascii="仿宋_GB2312" w:hAnsi="仿宋_GB2312" w:eastAsia="仿宋_GB2312" w:cs="仿宋_GB2312"/>
          <w:color w:val="000000" w:themeColor="text1"/>
          <w:sz w:val="32"/>
          <w:szCs w:val="32"/>
          <w14:textFill>
            <w14:solidFill>
              <w14:schemeClr w14:val="tx1"/>
            </w14:solidFill>
          </w14:textFill>
        </w:rPr>
        <w:t>市委常委、</w:t>
      </w:r>
      <w:r>
        <w:rPr>
          <w:rFonts w:hint="eastAsia" w:ascii="仿宋_GB2312" w:hAnsi="仿宋_GB2312" w:eastAsia="仿宋_GB2312" w:cs="仿宋_GB2312"/>
          <w:color w:val="000000" w:themeColor="text1"/>
          <w:sz w:val="32"/>
          <w:szCs w:val="32"/>
          <w:lang w:eastAsia="zh-CN"/>
          <w14:textFill>
            <w14:solidFill>
              <w14:schemeClr w14:val="tx1"/>
            </w14:solidFill>
          </w14:textFill>
        </w:rPr>
        <w:t>市政府</w:t>
      </w:r>
      <w:r>
        <w:rPr>
          <w:rFonts w:hint="eastAsia" w:ascii="仿宋_GB2312" w:hAnsi="仿宋_GB2312" w:eastAsia="仿宋_GB2312" w:cs="仿宋_GB2312"/>
          <w:color w:val="000000" w:themeColor="text1"/>
          <w:sz w:val="32"/>
          <w:szCs w:val="32"/>
          <w14:textFill>
            <w14:solidFill>
              <w14:schemeClr w14:val="tx1"/>
            </w14:solidFill>
          </w14:textFill>
        </w:rPr>
        <w:t>副市长</w:t>
      </w: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副召集人：</w:t>
      </w:r>
      <w:r>
        <w:rPr>
          <w:rFonts w:hint="eastAsia" w:ascii="仿宋_GB2312" w:hAnsi="仿宋_GB2312" w:eastAsia="仿宋_GB2312" w:cs="仿宋_GB2312"/>
          <w:color w:val="000000" w:themeColor="text1"/>
          <w:sz w:val="32"/>
          <w:szCs w:val="32"/>
          <w14:textFill>
            <w14:solidFill>
              <w14:schemeClr w14:val="tx1"/>
            </w14:solidFill>
          </w14:textFill>
        </w:rPr>
        <w:t>盖立洪    市政府办公室主任</w:t>
      </w:r>
    </w:p>
    <w:p>
      <w:pPr>
        <w:keepNext w:val="0"/>
        <w:keepLines w:val="0"/>
        <w:pageBreakBefore w:val="0"/>
        <w:kinsoku/>
        <w:overflowPunct/>
        <w:topLinePunct w:val="0"/>
        <w:autoSpaceDE/>
        <w:autoSpaceDN/>
        <w:bidi w:val="0"/>
        <w:spacing w:line="580" w:lineRule="exact"/>
        <w:ind w:left="3834" w:leftChars="1064" w:hanging="1600" w:hangingChars="5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闫吉国</w:t>
      </w:r>
      <w:r>
        <w:rPr>
          <w:rFonts w:hint="eastAsia" w:ascii="仿宋_GB2312" w:hAnsi="仿宋_GB2312" w:eastAsia="仿宋_GB2312" w:cs="仿宋_GB2312"/>
          <w:color w:val="000000" w:themeColor="text1"/>
          <w:sz w:val="32"/>
          <w:szCs w:val="32"/>
          <w14:textFill>
            <w14:solidFill>
              <w14:schemeClr w14:val="tx1"/>
            </w14:solidFill>
          </w14:textFill>
        </w:rPr>
        <w:t xml:space="preserve">    枣庄市</w:t>
      </w:r>
      <w:r>
        <w:rPr>
          <w:rFonts w:hint="eastAsia" w:ascii="仿宋_GB2312" w:hAnsi="仿宋_GB2312" w:eastAsia="仿宋_GB2312" w:cs="仿宋_GB2312"/>
          <w:color w:val="000000" w:themeColor="text1"/>
          <w:spacing w:val="-6"/>
          <w:sz w:val="32"/>
          <w:szCs w:val="32"/>
          <w14:textFill>
            <w14:solidFill>
              <w14:schemeClr w14:val="tx1"/>
            </w14:solidFill>
          </w14:textFill>
        </w:rPr>
        <w:t>住房公积金管理中心滕州分中心主任</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themeColor="text1"/>
          <w:spacing w:val="-17"/>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成    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孟防震    市</w:t>
      </w:r>
      <w:r>
        <w:rPr>
          <w:rFonts w:hint="eastAsia" w:ascii="仿宋_GB2312" w:hAnsi="仿宋_GB2312" w:eastAsia="仿宋_GB2312" w:cs="仿宋_GB2312"/>
          <w:color w:val="000000" w:themeColor="text1"/>
          <w:spacing w:val="-17"/>
          <w:sz w:val="32"/>
          <w:szCs w:val="32"/>
          <w:highlight w:val="none"/>
          <w:lang w:val="en-US" w:eastAsia="zh-CN"/>
          <w14:textFill>
            <w14:solidFill>
              <w14:schemeClr w14:val="tx1"/>
            </w14:solidFill>
          </w14:textFill>
        </w:rPr>
        <w:t>政府办公室副主任，市大数据局局长</w:t>
      </w:r>
    </w:p>
    <w:p>
      <w:pPr>
        <w:keepNext w:val="0"/>
        <w:keepLines w:val="0"/>
        <w:pageBreakBefore w:val="0"/>
        <w:widowControl w:val="0"/>
        <w:tabs>
          <w:tab w:val="left" w:pos="2236"/>
        </w:tabs>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张永正    市总工会党组书记、常务副主席</w:t>
      </w:r>
    </w:p>
    <w:p>
      <w:pPr>
        <w:keepNext w:val="0"/>
        <w:keepLines w:val="0"/>
        <w:pageBreakBefore w:val="0"/>
        <w:widowControl w:val="0"/>
        <w:tabs>
          <w:tab w:val="left" w:pos="2236"/>
        </w:tabs>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翟华栋    市民政局局长</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孙彦民    市财政局局长</w:t>
      </w:r>
    </w:p>
    <w:p>
      <w:pPr>
        <w:keepNext w:val="0"/>
        <w:keepLines w:val="0"/>
        <w:pageBreakBefore w:val="0"/>
        <w:widowControl w:val="0"/>
        <w:kinsoku/>
        <w:wordWrap/>
        <w:overflowPunct/>
        <w:topLinePunct w:val="0"/>
        <w:autoSpaceDE/>
        <w:autoSpaceDN/>
        <w:bidi w:val="0"/>
        <w:adjustRightInd/>
        <w:snapToGrid/>
        <w:spacing w:line="580" w:lineRule="exact"/>
        <w:ind w:firstLine="2249" w:firstLineChars="703"/>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赵卫平    市人力资源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社会保障局局长 </w:t>
      </w:r>
    </w:p>
    <w:p>
      <w:pPr>
        <w:keepNext w:val="0"/>
        <w:keepLines w:val="0"/>
        <w:pageBreakBefore w:val="0"/>
        <w:widowControl w:val="0"/>
        <w:kinsoku/>
        <w:wordWrap/>
        <w:overflowPunct/>
        <w:topLinePunct w:val="0"/>
        <w:autoSpaceDE/>
        <w:autoSpaceDN/>
        <w:bidi w:val="0"/>
        <w:adjustRightInd/>
        <w:snapToGrid/>
        <w:spacing w:line="580" w:lineRule="exact"/>
        <w:ind w:firstLine="2249" w:firstLineChars="703"/>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马培安    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局局长</w:t>
      </w:r>
    </w:p>
    <w:p>
      <w:pPr>
        <w:keepNext w:val="0"/>
        <w:keepLines w:val="0"/>
        <w:pageBreakBefore w:val="0"/>
        <w:widowControl w:val="0"/>
        <w:tabs>
          <w:tab w:val="left" w:pos="2236"/>
        </w:tabs>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俞  涛    市审计局局长</w:t>
      </w:r>
    </w:p>
    <w:p>
      <w:pPr>
        <w:keepNext w:val="0"/>
        <w:keepLines w:val="0"/>
        <w:pageBreakBefore w:val="0"/>
        <w:widowControl w:val="0"/>
        <w:tabs>
          <w:tab w:val="left" w:pos="2296"/>
        </w:tabs>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吕成民    市行政审批服务局（市政务服务管理</w:t>
      </w:r>
    </w:p>
    <w:p>
      <w:pPr>
        <w:keepNext w:val="0"/>
        <w:keepLines w:val="0"/>
        <w:pageBreakBefore w:val="0"/>
        <w:widowControl w:val="0"/>
        <w:tabs>
          <w:tab w:val="left" w:pos="2296"/>
        </w:tabs>
        <w:kinsoku/>
        <w:wordWrap/>
        <w:overflowPunct/>
        <w:topLinePunct w:val="0"/>
        <w:autoSpaceDE/>
        <w:autoSpaceDN/>
        <w:bidi w:val="0"/>
        <w:adjustRightInd/>
        <w:snapToGrid/>
        <w:spacing w:line="580" w:lineRule="exact"/>
        <w:ind w:firstLine="3840" w:firstLineChars="1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办公</w:t>
      </w:r>
      <w:r>
        <w:rPr>
          <w:rFonts w:hint="eastAsia" w:ascii="仿宋_GB2312" w:hAnsi="仿宋_GB2312" w:eastAsia="仿宋_GB2312" w:cs="仿宋_GB2312"/>
          <w:color w:val="000000" w:themeColor="text1"/>
          <w:sz w:val="32"/>
          <w:szCs w:val="32"/>
          <w14:textFill>
            <w14:solidFill>
              <w14:schemeClr w14:val="tx1"/>
            </w14:solidFill>
          </w14:textFill>
        </w:rPr>
        <w:t>室）局长（主任）</w:t>
      </w:r>
    </w:p>
    <w:p>
      <w:pPr>
        <w:keepNext w:val="0"/>
        <w:keepLines w:val="0"/>
        <w:pageBreakBefore w:val="0"/>
        <w:widowControl w:val="0"/>
        <w:tabs>
          <w:tab w:val="left" w:pos="2296"/>
        </w:tabs>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000000" w:themeColor="text1"/>
          <w:spacing w:val="-17"/>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许平雷</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国家税务总局滕州</w:t>
      </w:r>
      <w:r>
        <w:rPr>
          <w:rFonts w:hint="eastAsia" w:ascii="仿宋_GB2312" w:hAnsi="仿宋_GB2312" w:eastAsia="仿宋_GB2312" w:cs="仿宋_GB2312"/>
          <w:color w:val="000000" w:themeColor="text1"/>
          <w:sz w:val="32"/>
          <w:szCs w:val="32"/>
          <w14:textFill>
            <w14:solidFill>
              <w14:schemeClr w14:val="tx1"/>
            </w14:solidFill>
          </w14:textFill>
        </w:rPr>
        <w:t>市税务局局长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4"/>
        <w:keepNext w:val="0"/>
        <w:keepLines w:val="0"/>
        <w:pageBreakBefore w:val="0"/>
        <w:kinsoku/>
        <w:overflowPunct/>
        <w:topLinePunct w:val="0"/>
        <w:autoSpaceDE/>
        <w:autoSpaceDN/>
        <w:bidi w:val="0"/>
        <w:adjustRightInd w:val="0"/>
        <w:snapToGrid w:val="0"/>
        <w:spacing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联席会议下设办公室，由枣庄市住房公积金管理中心滕州分</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闫吉国</w:t>
      </w:r>
      <w:r>
        <w:rPr>
          <w:rFonts w:hint="eastAsia" w:ascii="仿宋_GB2312" w:hAnsi="仿宋_GB2312" w:eastAsia="仿宋_GB2312" w:cs="仿宋_GB2312"/>
          <w:sz w:val="32"/>
          <w:szCs w:val="32"/>
        </w:rPr>
        <w:t>同志兼任办公室主任，负责</w:t>
      </w:r>
      <w:r>
        <w:rPr>
          <w:rFonts w:hint="eastAsia" w:ascii="仿宋_GB2312" w:hAnsi="仿宋_GB2312" w:eastAsia="仿宋_GB2312" w:cs="仿宋_GB2312"/>
          <w:sz w:val="32"/>
          <w:szCs w:val="32"/>
          <w:lang w:eastAsia="zh-CN"/>
        </w:rPr>
        <w:t>联席会议</w:t>
      </w:r>
      <w:r>
        <w:rPr>
          <w:rFonts w:hint="eastAsia" w:ascii="仿宋_GB2312" w:hAnsi="仿宋_GB2312" w:eastAsia="仿宋_GB2312" w:cs="仿宋_GB2312"/>
          <w:sz w:val="32"/>
          <w:szCs w:val="32"/>
        </w:rPr>
        <w:t>日常工作。</w:t>
      </w:r>
    </w:p>
    <w:p>
      <w:pPr>
        <w:keepNext w:val="0"/>
        <w:keepLines w:val="0"/>
        <w:pageBreakBefore w:val="0"/>
        <w:kinsoku/>
        <w:overflowPunct/>
        <w:topLinePunct w:val="0"/>
        <w:autoSpaceDE/>
        <w:autoSpaceDN/>
        <w:bidi w:val="0"/>
        <w:spacing w:line="580" w:lineRule="exact"/>
        <w:textAlignment w:val="auto"/>
        <w:rPr>
          <w:rFonts w:ascii="仿宋_GB2312" w:hAnsi="仿宋_GB2312" w:eastAsia="仿宋_GB2312" w:cs="仿宋_GB2312"/>
          <w:sz w:val="32"/>
          <w:szCs w:val="32"/>
        </w:rPr>
      </w:pPr>
    </w:p>
    <w:p>
      <w:pPr>
        <w:keepNext w:val="0"/>
        <w:keepLines w:val="0"/>
        <w:pageBreakBefore w:val="0"/>
        <w:kinsoku/>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A7DC9A-780F-421D-9B48-71F8B7AB91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6B1C73C-4745-4042-B84D-13D5A13F3FC6}"/>
  </w:font>
  <w:font w:name="方正大标宋简体">
    <w:panose1 w:val="02000000000000000000"/>
    <w:charset w:val="86"/>
    <w:family w:val="auto"/>
    <w:pitch w:val="default"/>
    <w:sig w:usb0="A00002BF" w:usb1="184F6CFA" w:usb2="00000012" w:usb3="00000000" w:csb0="00040001" w:csb1="00000000"/>
    <w:embedRegular r:id="rId3" w:fontKey="{6076E3D2-F750-49DA-A817-C7DDEF21C7FC}"/>
  </w:font>
  <w:font w:name="方正小标宋简体">
    <w:panose1 w:val="02000000000000000000"/>
    <w:charset w:val="86"/>
    <w:family w:val="auto"/>
    <w:pitch w:val="default"/>
    <w:sig w:usb0="00000001" w:usb1="08000000" w:usb2="00000000" w:usb3="00000000" w:csb0="00040000" w:csb1="00000000"/>
    <w:embedRegular r:id="rId4" w:fontKey="{0709F82D-C76A-40C4-8E30-0DD95ECC25A3}"/>
  </w:font>
  <w:font w:name="楷体">
    <w:panose1 w:val="02010609060101010101"/>
    <w:charset w:val="86"/>
    <w:family w:val="auto"/>
    <w:pitch w:val="default"/>
    <w:sig w:usb0="800002BF" w:usb1="38CF7CFA" w:usb2="00000016" w:usb3="00000000" w:csb0="00040001" w:csb1="00000000"/>
    <w:embedRegular r:id="rId5" w:fontKey="{99E7FDC8-A635-473E-99E9-6A4D852E88F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仿宋_GB2312" w:hAnsi="仿宋_GB2312" w:eastAsia="仿宋_GB2312" w:cs="仿宋_GB2312"/>
                              <w:sz w:val="30"/>
                              <w:szCs w:val="30"/>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- 5 -</w:t>
                          </w:r>
                          <w:r>
                            <w:rPr>
                              <w:rFonts w:hint="eastAsia" w:ascii="仿宋_GB2312" w:hAnsi="仿宋_GB2312" w:eastAsia="仿宋_GB2312" w:cs="仿宋_GB2312"/>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仿宋_GB2312" w:hAnsi="仿宋_GB2312" w:eastAsia="仿宋_GB2312" w:cs="仿宋_GB2312"/>
                        <w:sz w:val="30"/>
                        <w:szCs w:val="30"/>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- 5 -</w:t>
                    </w:r>
                    <w:r>
                      <w:rPr>
                        <w:rFonts w:hint="eastAsia" w:ascii="仿宋_GB2312" w:hAnsi="仿宋_GB2312" w:eastAsia="仿宋_GB2312" w:cs="仿宋_GB2312"/>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TkyZjE0ZTAxMTM0ODE3MDgwZTI1Yzc4Zjc1NDEifQ=="/>
  </w:docVars>
  <w:rsids>
    <w:rsidRoot w:val="1E4C0CF3"/>
    <w:rsid w:val="0030092D"/>
    <w:rsid w:val="003550AC"/>
    <w:rsid w:val="003B2DA2"/>
    <w:rsid w:val="003E46CD"/>
    <w:rsid w:val="006D4F9A"/>
    <w:rsid w:val="00763174"/>
    <w:rsid w:val="00905387"/>
    <w:rsid w:val="00B67CA3"/>
    <w:rsid w:val="01BD33DF"/>
    <w:rsid w:val="05704DD8"/>
    <w:rsid w:val="05A64569"/>
    <w:rsid w:val="05D42ECD"/>
    <w:rsid w:val="06C90C44"/>
    <w:rsid w:val="08314CF2"/>
    <w:rsid w:val="08B73A1E"/>
    <w:rsid w:val="0CB35A73"/>
    <w:rsid w:val="0E2C21E4"/>
    <w:rsid w:val="0F490525"/>
    <w:rsid w:val="10280789"/>
    <w:rsid w:val="12D56299"/>
    <w:rsid w:val="138E37A0"/>
    <w:rsid w:val="157D4664"/>
    <w:rsid w:val="189C1D14"/>
    <w:rsid w:val="1CA2534E"/>
    <w:rsid w:val="1E4C0CF3"/>
    <w:rsid w:val="1E610759"/>
    <w:rsid w:val="1EAB7CF8"/>
    <w:rsid w:val="1EDD6BE3"/>
    <w:rsid w:val="1F3C1B5B"/>
    <w:rsid w:val="23377209"/>
    <w:rsid w:val="27573F9A"/>
    <w:rsid w:val="2BFB5F75"/>
    <w:rsid w:val="2D4034A3"/>
    <w:rsid w:val="2DFA3F4E"/>
    <w:rsid w:val="31B25CAD"/>
    <w:rsid w:val="32C20171"/>
    <w:rsid w:val="378A39CB"/>
    <w:rsid w:val="37A367C3"/>
    <w:rsid w:val="3CB23005"/>
    <w:rsid w:val="43B6162D"/>
    <w:rsid w:val="44316F05"/>
    <w:rsid w:val="45D20210"/>
    <w:rsid w:val="46072613"/>
    <w:rsid w:val="469C7509"/>
    <w:rsid w:val="470C2F65"/>
    <w:rsid w:val="490966A2"/>
    <w:rsid w:val="4CEE62DB"/>
    <w:rsid w:val="515661FD"/>
    <w:rsid w:val="54AC1908"/>
    <w:rsid w:val="551D59AF"/>
    <w:rsid w:val="56941CA1"/>
    <w:rsid w:val="56C9121F"/>
    <w:rsid w:val="570B1D0C"/>
    <w:rsid w:val="581E2B1D"/>
    <w:rsid w:val="59B60181"/>
    <w:rsid w:val="5A584D94"/>
    <w:rsid w:val="5E3C62B2"/>
    <w:rsid w:val="5F3A021C"/>
    <w:rsid w:val="606D6F96"/>
    <w:rsid w:val="64B81584"/>
    <w:rsid w:val="64D76689"/>
    <w:rsid w:val="67843F1F"/>
    <w:rsid w:val="69A2427D"/>
    <w:rsid w:val="703379DD"/>
    <w:rsid w:val="71542301"/>
    <w:rsid w:val="7229172D"/>
    <w:rsid w:val="722B694B"/>
    <w:rsid w:val="73640081"/>
    <w:rsid w:val="739E3E12"/>
    <w:rsid w:val="76C770D1"/>
    <w:rsid w:val="779F731B"/>
    <w:rsid w:val="78A70F68"/>
    <w:rsid w:val="791B54B2"/>
    <w:rsid w:val="79C24E7A"/>
    <w:rsid w:val="7B430CF1"/>
    <w:rsid w:val="7BD55DED"/>
    <w:rsid w:val="7CDA455C"/>
    <w:rsid w:val="7E933D3D"/>
    <w:rsid w:val="7F5A56E1"/>
    <w:rsid w:val="7FAC50B6"/>
    <w:rsid w:val="DBB3C2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1758</Words>
  <Characters>1779</Characters>
  <Lines>12</Lines>
  <Paragraphs>3</Paragraphs>
  <TotalTime>4</TotalTime>
  <ScaleCrop>false</ScaleCrop>
  <LinksUpToDate>false</LinksUpToDate>
  <CharactersWithSpaces>1852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2022-06-23T09:00:00Z</dcterms:created>
  <dc:creator>WPS_1495460513</dc:creator>
  <cp:lastModifiedBy>爱新觉罗-琛</cp:lastModifiedBy>
  <cp:lastPrinted>2023-01-19T15:11:00Z</cp:lastPrinted>
  <dcterms:modified xsi:type="dcterms:W3CDTF">2024-01-03T02:26:16Z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BF115D9830E54F238D035610FC04CEAA</vt:lpwstr>
  </property>
</Properties>
</file>